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543127465"/>
                <w:text w:multiLine="1"/>
              </w:sdtPr>
              <w:sdtEndPr/>
              <w:sdtContent>
                <w:r>
                  <w:rPr>
                    <w:rFonts w:ascii="Arial" w:hAnsi="Arial"/>
                    <w:b/>
                    <w:bCs/>
                    <w:noProof w:val="0"/>
                    <w:sz w:val="26"/>
                    <w:szCs w:val="26"/>
                    <w:rtl/>
                  </w:rPr>
                  <w:t>6</w:t>
                </w:r>
              </w:sdtContent>
            </w:sdt>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יחזקאל אליהו</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p w:rsidR="005B5685" w:rsidRDefault="00454A7B" w:rsidP="00342437">
            <w:pPr>
              <w:bidi w:val="0"/>
              <w:jc w:val="right"/>
              <w:rPr>
                <w:rFonts w:ascii="Arial" w:hAnsi="Arial"/>
                <w:b/>
                <w:bCs/>
                <w:noProof w:val="0"/>
                <w:sz w:val="26"/>
                <w:szCs w:val="26"/>
                <w:rtl/>
              </w:rPr>
            </w:pPr>
            <w:r>
              <w:rPr>
                <w:rFonts w:ascii="Arial" w:hAnsi="Arial"/>
                <w:b/>
                <w:bCs/>
                <w:noProof w:val="0"/>
                <w:sz w:val="26"/>
                <w:szCs w:val="26"/>
                <w:rtl/>
              </w:rPr>
              <w:t>מבקש</w:t>
            </w:r>
            <w:r w:rsidR="00342437">
              <w:rPr>
                <w:rFonts w:ascii="Arial" w:hAnsi="Arial" w:hint="cs"/>
                <w:b/>
                <w:bCs/>
                <w:noProof w:val="0"/>
                <w:sz w:val="26"/>
                <w:szCs w:val="26"/>
                <w:rtl/>
              </w:rPr>
              <w:t>:</w:t>
            </w:r>
          </w:p>
        </w:tc>
        <w:tc>
          <w:tcPr>
            <w:tcW w:w="5571" w:type="dxa"/>
            <w:gridSpan w:val="2"/>
          </w:tcPr>
          <w:p w:rsidR="00342437" w:rsidRDefault="00342437">
            <w:pPr>
              <w:rPr>
                <w:rFonts w:ascii="Arial" w:hAnsi="Arial"/>
                <w:b/>
                <w:bCs/>
                <w:noProof w:val="0"/>
                <w:sz w:val="26"/>
                <w:szCs w:val="26"/>
                <w:rtl/>
              </w:rPr>
            </w:pPr>
          </w:p>
          <w:p w:rsidR="002914D6" w:rsidRDefault="00094813" w:rsidP="00EC4172">
            <w:pPr>
              <w:rPr>
                <w:b/>
                <w:bCs/>
                <w:noProof w:val="0"/>
                <w:sz w:val="26"/>
                <w:szCs w:val="26"/>
              </w:rPr>
            </w:pPr>
            <w:r>
              <w:rPr>
                <w:rFonts w:ascii="Arial" w:hAnsi="Arial"/>
                <w:b/>
                <w:bCs/>
                <w:noProof w:val="0"/>
                <w:sz w:val="26"/>
                <w:szCs w:val="26"/>
                <w:rtl/>
              </w:rPr>
              <w:t>א</w:t>
            </w:r>
            <w:r w:rsidR="00EC4172">
              <w:rPr>
                <w:rFonts w:ascii="Arial" w:hAnsi="Arial" w:hint="cs"/>
                <w:b/>
                <w:bCs/>
                <w:noProof w:val="0"/>
                <w:sz w:val="26"/>
                <w:szCs w:val="26"/>
                <w:rtl/>
              </w:rPr>
              <w:t>.</w:t>
            </w:r>
            <w:r>
              <w:rPr>
                <w:rFonts w:ascii="Arial" w:hAnsi="Arial"/>
                <w:b/>
                <w:bCs/>
                <w:noProof w:val="0"/>
                <w:sz w:val="26"/>
                <w:szCs w:val="26"/>
                <w:rtl/>
              </w:rPr>
              <w:t>ט</w:t>
            </w:r>
            <w:r w:rsidR="00011212">
              <w:rPr>
                <w:rFonts w:ascii="Arial" w:hAnsi="Arial" w:hint="cs"/>
                <w:b/>
                <w:bCs/>
                <w:noProof w:val="0"/>
                <w:sz w:val="26"/>
                <w:szCs w:val="26"/>
                <w:rtl/>
              </w:rPr>
              <w:t xml:space="preserve"> </w:t>
            </w:r>
          </w:p>
        </w:tc>
      </w:tr>
      <w:tr w:rsidR="002914D6">
        <w:trPr>
          <w:jc w:val="center"/>
        </w:trPr>
        <w:tc>
          <w:tcPr>
            <w:tcW w:w="8820" w:type="dxa"/>
            <w:gridSpan w:val="4"/>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342437" w:rsidP="00342437">
            <w:pPr>
              <w:rPr>
                <w:rFonts w:ascii="Arial" w:hAnsi="Arial"/>
                <w:b/>
                <w:bCs/>
                <w:noProof w:val="0"/>
                <w:sz w:val="26"/>
                <w:szCs w:val="26"/>
              </w:rPr>
            </w:pPr>
            <w:r>
              <w:rPr>
                <w:rFonts w:ascii="Arial" w:hAnsi="Arial"/>
                <w:b/>
                <w:bCs/>
                <w:noProof w:val="0"/>
                <w:sz w:val="26"/>
                <w:szCs w:val="26"/>
                <w:rtl/>
              </w:rPr>
              <w:t>משי</w:t>
            </w:r>
            <w:r>
              <w:rPr>
                <w:rFonts w:ascii="Arial" w:hAnsi="Arial" w:hint="cs"/>
                <w:b/>
                <w:bCs/>
                <w:noProof w:val="0"/>
                <w:sz w:val="26"/>
                <w:szCs w:val="26"/>
                <w:rtl/>
              </w:rPr>
              <w:t>בה:</w:t>
            </w:r>
          </w:p>
        </w:tc>
        <w:tc>
          <w:tcPr>
            <w:tcW w:w="5571" w:type="dxa"/>
            <w:gridSpan w:val="2"/>
          </w:tcPr>
          <w:p w:rsidR="002914D6" w:rsidRDefault="002914D6">
            <w:pPr>
              <w:rPr>
                <w:rFonts w:ascii="Arial" w:hAnsi="Arial"/>
                <w:b/>
                <w:bCs/>
                <w:noProof w:val="0"/>
                <w:sz w:val="26"/>
                <w:szCs w:val="26"/>
                <w:rtl/>
              </w:rPr>
            </w:pPr>
          </w:p>
          <w:p w:rsidR="002914D6" w:rsidRDefault="00094813" w:rsidP="00EC4172">
            <w:pPr>
              <w:rPr>
                <w:b/>
                <w:bCs/>
                <w:noProof w:val="0"/>
                <w:sz w:val="26"/>
                <w:szCs w:val="26"/>
                <w:rtl/>
              </w:rPr>
            </w:pPr>
            <w:r>
              <w:rPr>
                <w:rFonts w:ascii="Arial" w:hAnsi="Arial"/>
                <w:b/>
                <w:bCs/>
                <w:noProof w:val="0"/>
                <w:sz w:val="26"/>
                <w:szCs w:val="26"/>
                <w:rtl/>
              </w:rPr>
              <w:t>א</w:t>
            </w:r>
            <w:r w:rsidR="00EC4172">
              <w:rPr>
                <w:rFonts w:ascii="Arial" w:hAnsi="Arial" w:hint="cs"/>
                <w:b/>
                <w:bCs/>
                <w:noProof w:val="0"/>
                <w:sz w:val="26"/>
                <w:szCs w:val="26"/>
                <w:rtl/>
              </w:rPr>
              <w:t>.</w:t>
            </w:r>
            <w:r>
              <w:rPr>
                <w:rFonts w:ascii="Arial" w:hAnsi="Arial"/>
                <w:b/>
                <w:bCs/>
                <w:noProof w:val="0"/>
                <w:sz w:val="26"/>
                <w:szCs w:val="26"/>
                <w:rtl/>
              </w:rPr>
              <w:t>ג</w:t>
            </w:r>
            <w:r w:rsidR="00EC4172">
              <w:rPr>
                <w:rFonts w:ascii="Arial" w:hAnsi="Arial" w:hint="cs"/>
                <w:b/>
                <w:bCs/>
                <w:noProof w:val="0"/>
                <w:sz w:val="26"/>
                <w:szCs w:val="26"/>
                <w:rtl/>
              </w:rPr>
              <w:t>.</w:t>
            </w:r>
            <w:r>
              <w:rPr>
                <w:rFonts w:ascii="Arial" w:hAnsi="Arial"/>
                <w:b/>
                <w:bCs/>
                <w:noProof w:val="0"/>
                <w:sz w:val="26"/>
                <w:szCs w:val="26"/>
                <w:rtl/>
              </w:rPr>
              <w:t>ט</w:t>
            </w:r>
            <w:r w:rsidR="00011212">
              <w:rPr>
                <w:rFonts w:ascii="Arial" w:hAnsi="Arial" w:hint="cs"/>
                <w:b/>
                <w:bCs/>
                <w:noProof w:val="0"/>
                <w:sz w:val="26"/>
                <w:szCs w:val="26"/>
                <w:rtl/>
              </w:rPr>
              <w:t xml:space="preserve"> </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Pr="00F41DE8" w:rsidRDefault="00F41DE8" w:rsidP="000C5FC7">
      <w:pPr>
        <w:spacing w:line="360" w:lineRule="auto"/>
        <w:ind w:left="720" w:hanging="720"/>
        <w:jc w:val="both"/>
        <w:rPr>
          <w:rFonts w:ascii="Arial" w:hAnsi="Arial"/>
          <w:noProof w:val="0"/>
          <w:rtl/>
        </w:rPr>
      </w:pPr>
      <w:r w:rsidRPr="00F41DE8">
        <w:rPr>
          <w:rFonts w:ascii="Arial" w:hAnsi="Arial" w:hint="cs"/>
          <w:noProof w:val="0"/>
          <w:rtl/>
        </w:rPr>
        <w:t>1.</w:t>
      </w:r>
      <w:r>
        <w:rPr>
          <w:rFonts w:ascii="Arial" w:hAnsi="Arial" w:hint="cs"/>
          <w:noProof w:val="0"/>
          <w:rtl/>
        </w:rPr>
        <w:tab/>
      </w:r>
      <w:r w:rsidR="00342437" w:rsidRPr="00F41DE8">
        <w:rPr>
          <w:rFonts w:ascii="Arial" w:hAnsi="Arial" w:hint="cs"/>
          <w:noProof w:val="0"/>
          <w:rtl/>
        </w:rPr>
        <w:t xml:space="preserve">לפניי בקשת המבקש למתן צו לפירוק שיתוף </w:t>
      </w:r>
      <w:r w:rsidR="000C5FC7" w:rsidRPr="000C5FC7">
        <w:rPr>
          <w:rFonts w:ascii="Arial" w:hAnsi="Arial" w:hint="cs"/>
          <w:b/>
          <w:bCs/>
          <w:noProof w:val="0"/>
          <w:u w:val="single"/>
          <w:rtl/>
        </w:rPr>
        <w:t xml:space="preserve">מיידי </w:t>
      </w:r>
      <w:r w:rsidR="00342437" w:rsidRPr="00F41DE8">
        <w:rPr>
          <w:rFonts w:ascii="Arial" w:hAnsi="Arial" w:hint="cs"/>
          <w:noProof w:val="0"/>
          <w:rtl/>
        </w:rPr>
        <w:t xml:space="preserve">בדירת המגורים של הצדדים. בעניינם של הצדדים התקיימו כבר 3 קדמי משפט במועדים </w:t>
      </w:r>
      <w:r w:rsidRPr="00F41DE8">
        <w:rPr>
          <w:rFonts w:ascii="Arial" w:hAnsi="Arial" w:hint="cs"/>
          <w:noProof w:val="0"/>
          <w:rtl/>
        </w:rPr>
        <w:t>24.2.22, 10.5.22 ו- 7.9.22. במסגרת דיונים אלה ניסה בית המשפט להביא הצדדים להסכמות לפיה תרכוש המשיבה את חלקו של המבקש בהתאם לשמאיות שנערכו</w:t>
      </w:r>
      <w:r w:rsidR="000C5FC7">
        <w:rPr>
          <w:rFonts w:ascii="Arial" w:hAnsi="Arial" w:hint="cs"/>
          <w:noProof w:val="0"/>
          <w:rtl/>
        </w:rPr>
        <w:t xml:space="preserve"> על ידם</w:t>
      </w:r>
      <w:r w:rsidRPr="00F41DE8">
        <w:rPr>
          <w:rFonts w:ascii="Arial" w:hAnsi="Arial" w:hint="cs"/>
          <w:noProof w:val="0"/>
          <w:rtl/>
        </w:rPr>
        <w:t xml:space="preserve"> אך זאת ללא הצלחה. </w:t>
      </w:r>
    </w:p>
    <w:p w:rsidR="00F41DE8" w:rsidRPr="00F41DE8" w:rsidRDefault="00F41DE8" w:rsidP="00F41DE8">
      <w:pPr>
        <w:ind w:left="720" w:hanging="720"/>
        <w:rPr>
          <w:rtl/>
        </w:rPr>
      </w:pPr>
    </w:p>
    <w:p w:rsidR="00342437" w:rsidRDefault="00342437" w:rsidP="00342437">
      <w:pPr>
        <w:spacing w:line="360" w:lineRule="auto"/>
        <w:jc w:val="both"/>
        <w:rPr>
          <w:rFonts w:ascii="Arial" w:hAnsi="Arial"/>
          <w:noProof w:val="0"/>
          <w:rtl/>
        </w:rPr>
      </w:pPr>
    </w:p>
    <w:p w:rsidR="00342437" w:rsidRPr="006C3972" w:rsidRDefault="00F41DE8" w:rsidP="00F41DE8">
      <w:pPr>
        <w:spacing w:line="360" w:lineRule="auto"/>
        <w:ind w:left="720" w:hanging="720"/>
        <w:jc w:val="both"/>
        <w:rPr>
          <w:rFonts w:ascii="Calibri" w:hAnsi="Calibri" w:cs="Calibri"/>
          <w:noProof w:val="0"/>
          <w:sz w:val="22"/>
          <w:szCs w:val="22"/>
          <w:rtl/>
        </w:rPr>
      </w:pPr>
      <w:r>
        <w:rPr>
          <w:rFonts w:ascii="Arial" w:hAnsi="Arial" w:hint="cs"/>
          <w:noProof w:val="0"/>
          <w:rtl/>
        </w:rPr>
        <w:t>2.</w:t>
      </w:r>
      <w:r>
        <w:rPr>
          <w:rFonts w:ascii="Arial" w:hAnsi="Arial" w:hint="cs"/>
          <w:noProof w:val="0"/>
          <w:rtl/>
        </w:rPr>
        <w:tab/>
      </w:r>
      <w:r w:rsidR="00342437">
        <w:rPr>
          <w:rFonts w:ascii="David" w:hAnsi="David"/>
          <w:noProof w:val="0"/>
          <w:rtl/>
        </w:rPr>
        <w:t>ס' 37 (א</w:t>
      </w:r>
      <w:r w:rsidR="00342437" w:rsidRPr="006C3972">
        <w:rPr>
          <w:rFonts w:ascii="David" w:hAnsi="David"/>
          <w:noProof w:val="0"/>
          <w:rtl/>
        </w:rPr>
        <w:t xml:space="preserve">) </w:t>
      </w:r>
      <w:hyperlink r:id="rId8" w:history="1">
        <w:r w:rsidR="00342437" w:rsidRPr="006C3972">
          <w:rPr>
            <w:rStyle w:val="Hyperlink"/>
            <w:noProof w:val="0"/>
            <w:color w:val="auto"/>
            <w:u w:val="none"/>
            <w:rtl/>
          </w:rPr>
          <w:t>חוק המקרקעין</w:t>
        </w:r>
      </w:hyperlink>
      <w:r w:rsidR="00342437" w:rsidRPr="006C3972">
        <w:rPr>
          <w:rFonts w:ascii="David" w:hAnsi="David"/>
          <w:noProof w:val="0"/>
          <w:rtl/>
        </w:rPr>
        <w:t xml:space="preserve"> קובע עקרון-על, לפיו כל שותף במקרקעין משותפים יכול ורשאי להביא, לרצונו, לפירוק השיתוף (</w:t>
      </w:r>
      <w:hyperlink r:id="rId9" w:history="1">
        <w:r w:rsidR="00342437" w:rsidRPr="006C3972">
          <w:rPr>
            <w:rStyle w:val="Hyperlink"/>
            <w:noProof w:val="0"/>
            <w:color w:val="auto"/>
            <w:u w:val="none"/>
            <w:rtl/>
          </w:rPr>
          <w:t>רע"א 1017/97</w:t>
        </w:r>
      </w:hyperlink>
      <w:r w:rsidR="00342437" w:rsidRPr="006C3972">
        <w:rPr>
          <w:rFonts w:ascii="David" w:hAnsi="David"/>
          <w:noProof w:val="0"/>
          <w:rtl/>
        </w:rPr>
        <w:t xml:space="preserve"> </w:t>
      </w:r>
      <w:r w:rsidR="00342437" w:rsidRPr="006C3972">
        <w:rPr>
          <w:rFonts w:ascii="David" w:hAnsi="David" w:hint="cs"/>
          <w:b/>
          <w:bCs/>
          <w:noProof w:val="0"/>
          <w:rtl/>
        </w:rPr>
        <w:t>יצחק רידלביץ נ' יצחק מודעי</w:t>
      </w:r>
      <w:r w:rsidR="00342437" w:rsidRPr="006C3972">
        <w:rPr>
          <w:rFonts w:ascii="David" w:hAnsi="David" w:hint="cs"/>
          <w:noProof w:val="0"/>
          <w:rtl/>
        </w:rPr>
        <w:t xml:space="preserve">, פ"ד נב(4) 625 [1998]) עקרון המתיישב היטב עם זכות היסוד של חופש הקניין. אמנם, כאשר מדובר בפירוק שיתוף בין בני זוג, שיקולים מתחום דיני המשפחה עשויים להביא לעיכוב בפירוק השיתוף, במטרה להביא להסדר רכושי כולל ותוך יישום </w:t>
      </w:r>
      <w:hyperlink r:id="rId10" w:history="1">
        <w:r w:rsidR="00342437" w:rsidRPr="006C3972">
          <w:rPr>
            <w:rStyle w:val="Hyperlink"/>
            <w:noProof w:val="0"/>
            <w:color w:val="auto"/>
            <w:u w:val="none"/>
            <w:rtl/>
          </w:rPr>
          <w:t>חוק יחסי ממון בין בני זוג</w:t>
        </w:r>
      </w:hyperlink>
      <w:r w:rsidR="00342437" w:rsidRPr="006C3972">
        <w:rPr>
          <w:rFonts w:ascii="David" w:hAnsi="David"/>
          <w:noProof w:val="0"/>
          <w:rtl/>
        </w:rPr>
        <w:t xml:space="preserve">, התשל"ג-1973 (ראו, </w:t>
      </w:r>
      <w:hyperlink r:id="rId11" w:history="1">
        <w:r w:rsidR="00342437" w:rsidRPr="006C3972">
          <w:rPr>
            <w:rStyle w:val="Hyperlink"/>
            <w:noProof w:val="0"/>
            <w:color w:val="auto"/>
            <w:u w:val="none"/>
            <w:rtl/>
          </w:rPr>
          <w:t>בע"מ 1955/17</w:t>
        </w:r>
      </w:hyperlink>
      <w:r w:rsidR="00342437" w:rsidRPr="006C3972">
        <w:rPr>
          <w:rFonts w:ascii="David" w:hAnsi="David"/>
          <w:noProof w:val="0"/>
          <w:rtl/>
        </w:rPr>
        <w:t xml:space="preserve"> </w:t>
      </w:r>
      <w:r w:rsidR="00342437" w:rsidRPr="006C3972">
        <w:rPr>
          <w:rFonts w:ascii="David" w:hAnsi="David" w:hint="cs"/>
          <w:b/>
          <w:bCs/>
          <w:noProof w:val="0"/>
          <w:rtl/>
        </w:rPr>
        <w:t>פלונית נ' פלוני</w:t>
      </w:r>
      <w:r w:rsidR="00342437" w:rsidRPr="006C3972">
        <w:rPr>
          <w:rFonts w:ascii="David" w:hAnsi="David" w:hint="cs"/>
          <w:noProof w:val="0"/>
          <w:rtl/>
        </w:rPr>
        <w:t xml:space="preserve"> </w:t>
      </w:r>
      <w:r w:rsidR="00342437" w:rsidRPr="006C3972">
        <w:rPr>
          <w:noProof w:val="0"/>
          <w:sz w:val="22"/>
          <w:rtl/>
        </w:rPr>
        <w:t xml:space="preserve">[פורסם בנבו] </w:t>
      </w:r>
      <w:r w:rsidR="00342437" w:rsidRPr="006C3972">
        <w:rPr>
          <w:rFonts w:ascii="David" w:hAnsi="David"/>
          <w:noProof w:val="0"/>
          <w:rtl/>
        </w:rPr>
        <w:t xml:space="preserve">(ניתן ביום 18.4.2017; שחר ליפשיץ, </w:t>
      </w:r>
      <w:hyperlink r:id="rId12" w:history="1">
        <w:r w:rsidR="00342437" w:rsidRPr="006C3972">
          <w:rPr>
            <w:rStyle w:val="Hyperlink"/>
            <w:b/>
            <w:bCs/>
            <w:noProof w:val="0"/>
            <w:color w:val="auto"/>
            <w:u w:val="none"/>
            <w:rtl/>
          </w:rPr>
          <w:t>השיתוף הזוגי</w:t>
        </w:r>
      </w:hyperlink>
      <w:r w:rsidR="00342437" w:rsidRPr="006C3972">
        <w:rPr>
          <w:rFonts w:ascii="David" w:hAnsi="David"/>
          <w:noProof w:val="0"/>
          <w:rtl/>
        </w:rPr>
        <w:t xml:space="preserve">  (תשע"ו-2016) 166 - 168). </w:t>
      </w:r>
    </w:p>
    <w:p w:rsidR="0023788E" w:rsidRPr="006C3972" w:rsidRDefault="0023788E" w:rsidP="00342437">
      <w:pPr>
        <w:spacing w:line="360" w:lineRule="auto"/>
        <w:ind w:left="720"/>
        <w:jc w:val="both"/>
        <w:rPr>
          <w:rFonts w:ascii="Arial" w:hAnsi="Arial"/>
          <w:noProof w:val="0"/>
          <w:rtl/>
        </w:rPr>
      </w:pPr>
    </w:p>
    <w:p w:rsidR="0023788E" w:rsidRPr="006C3972" w:rsidRDefault="00F41DE8" w:rsidP="00F41DE8">
      <w:pPr>
        <w:spacing w:line="360" w:lineRule="auto"/>
        <w:ind w:left="720" w:hanging="720"/>
        <w:jc w:val="both"/>
        <w:rPr>
          <w:rFonts w:ascii="Arial" w:hAnsi="Arial"/>
          <w:noProof w:val="0"/>
        </w:rPr>
      </w:pPr>
      <w:r w:rsidRPr="006C3972">
        <w:rPr>
          <w:rFonts w:ascii="Arial" w:hAnsi="Arial" w:hint="cs"/>
          <w:noProof w:val="0"/>
          <w:rtl/>
        </w:rPr>
        <w:t>3.</w:t>
      </w:r>
      <w:r w:rsidRPr="006C3972">
        <w:rPr>
          <w:rFonts w:ascii="Arial" w:hAnsi="Arial" w:hint="cs"/>
          <w:noProof w:val="0"/>
          <w:rtl/>
        </w:rPr>
        <w:tab/>
        <w:t>ב</w:t>
      </w:r>
      <w:r w:rsidR="0023788E" w:rsidRPr="006C3972">
        <w:rPr>
          <w:rFonts w:ascii="Arial" w:hAnsi="Arial"/>
          <w:noProof w:val="0"/>
          <w:rtl/>
        </w:rPr>
        <w:t xml:space="preserve">רמ"ש (תל אביב-יפו) 46935-03-20 </w:t>
      </w:r>
      <w:r w:rsidR="0023788E" w:rsidRPr="000C5FC7">
        <w:rPr>
          <w:rFonts w:ascii="Arial" w:hAnsi="Arial"/>
          <w:b/>
          <w:bCs/>
          <w:noProof w:val="0"/>
          <w:u w:val="single"/>
          <w:rtl/>
        </w:rPr>
        <w:t>ג.ר נ' א.ר</w:t>
      </w:r>
      <w:r w:rsidR="0023788E" w:rsidRPr="006C3972">
        <w:rPr>
          <w:rFonts w:ascii="Arial" w:hAnsi="Arial" w:hint="cs"/>
          <w:noProof w:val="0"/>
          <w:rtl/>
        </w:rPr>
        <w:t xml:space="preserve"> [פורסם בנבו] (24.6.20] נקבע ע"י כב' השופט שאול שוחט: </w:t>
      </w:r>
    </w:p>
    <w:p w:rsidR="0023788E" w:rsidRPr="0023788E" w:rsidRDefault="00F41DE8" w:rsidP="00F41DE8">
      <w:pPr>
        <w:spacing w:before="120" w:line="360" w:lineRule="auto"/>
        <w:ind w:left="720"/>
        <w:jc w:val="both"/>
        <w:rPr>
          <w:noProof w:val="0"/>
        </w:rPr>
      </w:pPr>
      <w:r w:rsidRPr="006C3972">
        <w:rPr>
          <w:rFonts w:ascii="Arial" w:hAnsi="Arial" w:hint="cs"/>
          <w:noProof w:val="0"/>
          <w:rtl/>
        </w:rPr>
        <w:t>"</w:t>
      </w:r>
      <w:r w:rsidR="0023788E" w:rsidRPr="0023788E">
        <w:rPr>
          <w:rFonts w:ascii="Arial" w:hAnsi="Arial"/>
          <w:noProof w:val="0"/>
          <w:rtl/>
        </w:rPr>
        <w:t>במקרים המתאימים אין מניעה להשעות את זכותו הקניינית של בעל דין להשתחרר משותפות כפויה</w:t>
      </w:r>
      <w:r w:rsidR="0023788E" w:rsidRPr="0023788E">
        <w:rPr>
          <w:rFonts w:ascii="Calibri" w:hAnsi="Calibri"/>
          <w:noProof w:val="0"/>
          <w:rtl/>
        </w:rPr>
        <w:t xml:space="preserve"> (זכות הקבועה </w:t>
      </w:r>
      <w:hyperlink r:id="rId13" w:history="1">
        <w:r w:rsidR="0023788E" w:rsidRPr="006C3972">
          <w:rPr>
            <w:rFonts w:ascii="Calibri" w:hAnsi="Calibri"/>
            <w:noProof w:val="0"/>
            <w:rtl/>
          </w:rPr>
          <w:t>בסעיף 37(א)</w:t>
        </w:r>
      </w:hyperlink>
      <w:r w:rsidR="0023788E" w:rsidRPr="0023788E">
        <w:rPr>
          <w:rFonts w:ascii="Calibri" w:hAnsi="Calibri"/>
          <w:noProof w:val="0"/>
          <w:rtl/>
        </w:rPr>
        <w:t xml:space="preserve"> ל</w:t>
      </w:r>
      <w:hyperlink r:id="rId14" w:history="1">
        <w:r w:rsidR="0023788E" w:rsidRPr="006C3972">
          <w:rPr>
            <w:rFonts w:ascii="Calibri" w:hAnsi="Calibri"/>
            <w:noProof w:val="0"/>
            <w:rtl/>
          </w:rPr>
          <w:t>חוק המקרקעין</w:t>
        </w:r>
      </w:hyperlink>
      <w:r w:rsidR="0023788E" w:rsidRPr="0023788E">
        <w:rPr>
          <w:rFonts w:ascii="Calibri" w:hAnsi="Calibri"/>
          <w:noProof w:val="0"/>
          <w:rtl/>
        </w:rPr>
        <w:t>), כאשר ההשעיה האמורה משרתת את החתירה להסדר סופי, כולל והוגן המהווה כאמור תכלית ראויה, ובלבד שהיא לא נעשית במידה העולה על הנדרש</w:t>
      </w:r>
      <w:r w:rsidR="0023788E" w:rsidRPr="0023788E">
        <w:rPr>
          <w:noProof w:val="0"/>
          <w:rtl/>
        </w:rPr>
        <w:t xml:space="preserve"> (ראו לעניין זה </w:t>
      </w:r>
      <w:hyperlink r:id="rId15" w:history="1">
        <w:r w:rsidR="0023788E" w:rsidRPr="006C3972">
          <w:rPr>
            <w:rFonts w:ascii="Calibri" w:hAnsi="Calibri"/>
            <w:noProof w:val="0"/>
            <w:rtl/>
          </w:rPr>
          <w:t>בע"מ 8873/06</w:t>
        </w:r>
      </w:hyperlink>
      <w:r w:rsidR="0023788E" w:rsidRPr="0023788E">
        <w:rPr>
          <w:rFonts w:ascii="Calibri" w:hAnsi="Calibri"/>
          <w:noProof w:val="0"/>
          <w:rtl/>
        </w:rPr>
        <w:t xml:space="preserve"> </w:t>
      </w:r>
      <w:r w:rsidR="0023788E" w:rsidRPr="0023788E">
        <w:rPr>
          <w:rFonts w:ascii="Calibri" w:hAnsi="Calibri"/>
          <w:b/>
          <w:bCs/>
          <w:noProof w:val="0"/>
          <w:rtl/>
        </w:rPr>
        <w:t>פלוני נ' פלונית</w:t>
      </w:r>
      <w:r w:rsidR="0023788E" w:rsidRPr="0023788E">
        <w:rPr>
          <w:rFonts w:ascii="Calibri" w:hAnsi="Calibri"/>
          <w:noProof w:val="0"/>
          <w:rtl/>
        </w:rPr>
        <w:t xml:space="preserve"> (7.6.07); </w:t>
      </w:r>
      <w:hyperlink r:id="rId16" w:history="1">
        <w:r w:rsidR="0023788E" w:rsidRPr="006C3972">
          <w:rPr>
            <w:rFonts w:ascii="Calibri" w:hAnsi="Calibri"/>
            <w:noProof w:val="0"/>
            <w:rtl/>
          </w:rPr>
          <w:t>רמ"ש 37388-06-12</w:t>
        </w:r>
      </w:hyperlink>
      <w:r w:rsidR="0023788E" w:rsidRPr="0023788E">
        <w:rPr>
          <w:rFonts w:ascii="Calibri" w:hAnsi="Calibri"/>
          <w:noProof w:val="0"/>
          <w:rtl/>
        </w:rPr>
        <w:t xml:space="preserve"> </w:t>
      </w:r>
      <w:r w:rsidR="0023788E" w:rsidRPr="0023788E">
        <w:rPr>
          <w:rFonts w:ascii="Calibri" w:hAnsi="Calibri"/>
          <w:b/>
          <w:bCs/>
          <w:noProof w:val="0"/>
          <w:rtl/>
        </w:rPr>
        <w:t>ט' מ' נ' ר' מ'</w:t>
      </w:r>
      <w:r w:rsidR="0023788E" w:rsidRPr="0023788E">
        <w:rPr>
          <w:rFonts w:ascii="Calibri" w:hAnsi="Calibri"/>
          <w:noProof w:val="0"/>
          <w:rtl/>
        </w:rPr>
        <w:t xml:space="preserve"> (5.8.2012).</w:t>
      </w:r>
    </w:p>
    <w:p w:rsidR="0023788E" w:rsidRPr="0023788E" w:rsidRDefault="0023788E" w:rsidP="00F41DE8">
      <w:pPr>
        <w:spacing w:before="120" w:line="360" w:lineRule="auto"/>
        <w:ind w:left="720"/>
        <w:jc w:val="both"/>
        <w:rPr>
          <w:rFonts w:ascii="Calibri" w:hAnsi="Calibri"/>
          <w:noProof w:val="0"/>
          <w:rtl/>
        </w:rPr>
      </w:pPr>
      <w:r w:rsidRPr="0023788E">
        <w:rPr>
          <w:rFonts w:ascii="Calibri" w:hAnsi="Calibri"/>
          <w:noProof w:val="0"/>
          <w:rtl/>
        </w:rPr>
        <w:t>ב</w:t>
      </w:r>
      <w:hyperlink r:id="rId17" w:history="1">
        <w:r w:rsidRPr="006C3972">
          <w:rPr>
            <w:rFonts w:ascii="Calibri" w:hAnsi="Calibri"/>
            <w:noProof w:val="0"/>
            <w:rtl/>
          </w:rPr>
          <w:t>רמ"ש 37388-06-12</w:t>
        </w:r>
      </w:hyperlink>
      <w:r w:rsidRPr="0023788E">
        <w:rPr>
          <w:rFonts w:ascii="Calibri" w:hAnsi="Calibri"/>
          <w:noProof w:val="0"/>
          <w:rtl/>
        </w:rPr>
        <w:t xml:space="preserve"> </w:t>
      </w:r>
      <w:r w:rsidRPr="0023788E">
        <w:rPr>
          <w:rFonts w:ascii="Calibri" w:hAnsi="Calibri"/>
          <w:b/>
          <w:bCs/>
          <w:noProof w:val="0"/>
          <w:rtl/>
        </w:rPr>
        <w:t>ט' מ' נ' ר' מ'</w:t>
      </w:r>
      <w:r w:rsidRPr="0023788E">
        <w:rPr>
          <w:rFonts w:ascii="Calibri" w:hAnsi="Calibri"/>
          <w:noProof w:val="0"/>
          <w:rtl/>
        </w:rPr>
        <w:t xml:space="preserve"> הנ"ל עמדתי על שיקול הדעת הרחב של הערכאה הדיונית בעניין ועל השיקולים שצריכים להישקל על ידה כפי שנקבעו בפסיקה:</w:t>
      </w:r>
    </w:p>
    <w:p w:rsidR="0023788E" w:rsidRPr="0023788E" w:rsidRDefault="0023788E" w:rsidP="0023788E">
      <w:pPr>
        <w:spacing w:before="120" w:line="360" w:lineRule="auto"/>
        <w:jc w:val="both"/>
        <w:rPr>
          <w:rFonts w:ascii="David" w:hAnsi="David"/>
          <w:noProof w:val="0"/>
          <w:rtl/>
        </w:rPr>
      </w:pPr>
    </w:p>
    <w:p w:rsidR="0023788E" w:rsidRPr="0023788E" w:rsidRDefault="0023788E" w:rsidP="00F41DE8">
      <w:pPr>
        <w:spacing w:after="160" w:line="360" w:lineRule="auto"/>
        <w:ind w:left="720"/>
        <w:contextualSpacing/>
        <w:jc w:val="both"/>
        <w:rPr>
          <w:rFonts w:ascii="Calibri" w:hAnsi="Calibri"/>
          <w:b/>
          <w:bCs/>
          <w:noProof w:val="0"/>
          <w:rtl/>
        </w:rPr>
      </w:pPr>
      <w:r w:rsidRPr="0023788E">
        <w:rPr>
          <w:rFonts w:ascii="Calibri" w:hAnsi="Calibri"/>
          <w:b/>
          <w:bCs/>
          <w:noProof w:val="0"/>
          <w:rtl/>
        </w:rPr>
        <w:t>"הכלל, אפוא, הוא בירור מאוחד. החריג עניין נפרד. שיקול הדעת בידי בית המשפט. מתחם שיקול הדעת, בכל הנוגע ל"עת" (סעיף 37(א) ל</w:t>
      </w:r>
      <w:hyperlink r:id="rId18" w:history="1">
        <w:r w:rsidRPr="006C3972">
          <w:rPr>
            <w:rFonts w:ascii="Calibri" w:hAnsi="Calibri"/>
            <w:b/>
            <w:bCs/>
            <w:noProof w:val="0"/>
            <w:rtl/>
          </w:rPr>
          <w:t>חוק המקרקעין</w:t>
        </w:r>
      </w:hyperlink>
      <w:r w:rsidRPr="0023788E">
        <w:rPr>
          <w:rFonts w:ascii="Calibri" w:hAnsi="Calibri"/>
          <w:b/>
          <w:bCs/>
          <w:noProof w:val="0"/>
          <w:rtl/>
        </w:rPr>
        <w:t xml:space="preserve">) בה יפריד בית המשפט בין הדברים, רחב. </w:t>
      </w:r>
    </w:p>
    <w:p w:rsidR="0023788E" w:rsidRPr="0023788E" w:rsidRDefault="0023788E" w:rsidP="0023788E">
      <w:pPr>
        <w:spacing w:after="160" w:line="360" w:lineRule="auto"/>
        <w:ind w:left="720"/>
        <w:contextualSpacing/>
        <w:jc w:val="both"/>
        <w:rPr>
          <w:rFonts w:ascii="Calibri" w:hAnsi="Calibri"/>
          <w:b/>
          <w:bCs/>
          <w:noProof w:val="0"/>
          <w:rtl/>
        </w:rPr>
      </w:pPr>
    </w:p>
    <w:p w:rsidR="0023788E" w:rsidRPr="0023788E" w:rsidRDefault="0023788E" w:rsidP="00F41DE8">
      <w:pPr>
        <w:spacing w:after="160" w:line="360" w:lineRule="auto"/>
        <w:ind w:firstLine="720"/>
        <w:contextualSpacing/>
        <w:jc w:val="both"/>
        <w:rPr>
          <w:rFonts w:ascii="Calibri" w:hAnsi="Calibri"/>
          <w:b/>
          <w:bCs/>
          <w:rtl/>
        </w:rPr>
      </w:pPr>
      <w:r w:rsidRPr="0023788E">
        <w:rPr>
          <w:rFonts w:ascii="Calibri" w:hAnsi="Calibri"/>
          <w:b/>
          <w:bCs/>
          <w:noProof w:val="0"/>
          <w:rtl/>
        </w:rPr>
        <w:t>היטיב לתאר זאת סגן הנשיא, כב' שופט אסף זגורי:</w:t>
      </w:r>
    </w:p>
    <w:p w:rsidR="0023788E" w:rsidRPr="0023788E" w:rsidRDefault="0023788E" w:rsidP="0023788E">
      <w:pPr>
        <w:spacing w:after="160" w:line="360" w:lineRule="auto"/>
        <w:ind w:left="720"/>
        <w:contextualSpacing/>
        <w:jc w:val="both"/>
        <w:rPr>
          <w:rFonts w:ascii="Calibri" w:hAnsi="Calibri"/>
          <w:b/>
          <w:bCs/>
        </w:rPr>
      </w:pPr>
    </w:p>
    <w:p w:rsidR="0023788E" w:rsidRPr="0023788E" w:rsidRDefault="0023788E" w:rsidP="00F41DE8">
      <w:pPr>
        <w:spacing w:after="160" w:line="360" w:lineRule="auto"/>
        <w:ind w:left="720"/>
        <w:contextualSpacing/>
        <w:jc w:val="both"/>
        <w:rPr>
          <w:rFonts w:ascii="Calibri" w:hAnsi="Calibri"/>
          <w:b/>
          <w:bCs/>
          <w:noProof w:val="0"/>
        </w:rPr>
      </w:pPr>
      <w:r w:rsidRPr="0023788E">
        <w:rPr>
          <w:rFonts w:ascii="Calibri" w:hAnsi="Calibri"/>
          <w:b/>
          <w:bCs/>
          <w:noProof w:val="0"/>
          <w:rtl/>
        </w:rPr>
        <w:t>"התנועה על ציר ההחלטות האפשריות, בין קוטב ההחלטה בדבר פירוק שיתוף מיידי בדירת המגורים של בני הזוג לבין קוטב ההחלטה בדבר עיכוב פירוק השיתוף או דחייתו לזמן מסוים, היא תנועה משולבת המוכפפת לערכים ולנסיבות גם יחד. הנסיבות הן אמנם תמיד ספציפיות אך גם כפופות לתכליות כלליות שנקבעו בפסיקה ובין אלה מתקיימים יחסי גומלין. יחסי הגומלין משרטטים את נתיב ההכרעה השיפוטית" (</w:t>
      </w:r>
      <w:hyperlink r:id="rId19" w:history="1">
        <w:r w:rsidRPr="006C3972">
          <w:rPr>
            <w:rFonts w:ascii="Calibri" w:hAnsi="Calibri"/>
            <w:b/>
            <w:bCs/>
            <w:noProof w:val="0"/>
            <w:rtl/>
          </w:rPr>
          <w:t>תמ"ש (טב')   8856-07-10</w:t>
        </w:r>
      </w:hyperlink>
      <w:r w:rsidRPr="0023788E">
        <w:rPr>
          <w:rFonts w:ascii="Calibri" w:hAnsi="Calibri"/>
          <w:b/>
          <w:bCs/>
          <w:noProof w:val="0"/>
          <w:rtl/>
        </w:rPr>
        <w:t xml:space="preserve"> פלוני נ' אלמונית; 11.11.2010).</w:t>
      </w:r>
    </w:p>
    <w:p w:rsidR="0023788E" w:rsidRPr="0023788E" w:rsidRDefault="0023788E" w:rsidP="0023788E">
      <w:pPr>
        <w:spacing w:after="160" w:line="360" w:lineRule="auto"/>
        <w:ind w:left="720"/>
        <w:contextualSpacing/>
        <w:jc w:val="both"/>
        <w:rPr>
          <w:rFonts w:ascii="Calibri" w:hAnsi="Calibri"/>
          <w:b/>
          <w:bCs/>
          <w:noProof w:val="0"/>
          <w:rtl/>
        </w:rPr>
      </w:pPr>
    </w:p>
    <w:p w:rsidR="0023788E" w:rsidRPr="0023788E" w:rsidRDefault="0023788E" w:rsidP="00F41DE8">
      <w:pPr>
        <w:spacing w:after="160" w:line="360" w:lineRule="auto"/>
        <w:ind w:firstLine="720"/>
        <w:contextualSpacing/>
        <w:jc w:val="both"/>
        <w:rPr>
          <w:rFonts w:ascii="Calibri" w:hAnsi="Calibri"/>
          <w:b/>
          <w:bCs/>
          <w:noProof w:val="0"/>
          <w:rtl/>
        </w:rPr>
      </w:pPr>
      <w:r w:rsidRPr="0023788E">
        <w:rPr>
          <w:rFonts w:ascii="Calibri" w:hAnsi="Calibri"/>
          <w:b/>
          <w:bCs/>
          <w:noProof w:val="0"/>
          <w:rtl/>
        </w:rPr>
        <w:t xml:space="preserve">עניין לנו, אפוא, באיזון בין מועדים – מועד פירוק השיתוף מחד ומועד האיזון מאידך. </w:t>
      </w:r>
    </w:p>
    <w:p w:rsidR="0023788E" w:rsidRPr="0023788E" w:rsidRDefault="0023788E" w:rsidP="0023788E">
      <w:pPr>
        <w:spacing w:after="160" w:line="360" w:lineRule="auto"/>
        <w:ind w:left="720"/>
        <w:contextualSpacing/>
        <w:jc w:val="both"/>
        <w:rPr>
          <w:rFonts w:ascii="Calibri" w:hAnsi="Calibri"/>
          <w:b/>
          <w:bCs/>
          <w:noProof w:val="0"/>
          <w:rtl/>
        </w:rPr>
      </w:pPr>
    </w:p>
    <w:p w:rsidR="0023788E" w:rsidRPr="0023788E" w:rsidRDefault="0023788E" w:rsidP="00F41DE8">
      <w:pPr>
        <w:spacing w:after="160" w:line="360" w:lineRule="auto"/>
        <w:ind w:left="720"/>
        <w:contextualSpacing/>
        <w:jc w:val="both"/>
        <w:rPr>
          <w:rFonts w:ascii="Calibri" w:hAnsi="Calibri"/>
          <w:b/>
          <w:bCs/>
          <w:noProof w:val="0"/>
          <w:rtl/>
        </w:rPr>
      </w:pPr>
      <w:r w:rsidRPr="0023788E">
        <w:rPr>
          <w:rFonts w:ascii="Calibri" w:hAnsi="Calibri"/>
          <w:b/>
          <w:bCs/>
          <w:noProof w:val="0"/>
          <w:rtl/>
        </w:rPr>
        <w:t>בפרשה זו אף נמנו מבחני העזר הנדרשים – שאינם בגדר רשימה סגורה – לצורך קבלת ההכרעה הנכונה:</w:t>
      </w:r>
    </w:p>
    <w:p w:rsidR="0023788E" w:rsidRPr="0023788E" w:rsidRDefault="0023788E" w:rsidP="0023788E">
      <w:pPr>
        <w:numPr>
          <w:ilvl w:val="0"/>
          <w:numId w:val="2"/>
        </w:numPr>
        <w:spacing w:after="160" w:line="360" w:lineRule="auto"/>
        <w:contextualSpacing/>
        <w:jc w:val="both"/>
        <w:rPr>
          <w:rFonts w:ascii="Calibri" w:hAnsi="Calibri"/>
          <w:b/>
          <w:bCs/>
          <w:noProof w:val="0"/>
          <w:rtl/>
        </w:rPr>
      </w:pPr>
      <w:r w:rsidRPr="0023788E">
        <w:rPr>
          <w:rFonts w:ascii="Calibri" w:hAnsi="Calibri"/>
          <w:b/>
          <w:bCs/>
          <w:noProof w:val="0"/>
          <w:rtl/>
        </w:rPr>
        <w:t>הסיכוי להגיע להסדרה הגונה וכוללת של הסכסוך בתוך זמן סביר.</w:t>
      </w:r>
    </w:p>
    <w:p w:rsidR="0023788E" w:rsidRPr="0023788E" w:rsidRDefault="0023788E" w:rsidP="0023788E">
      <w:pPr>
        <w:numPr>
          <w:ilvl w:val="0"/>
          <w:numId w:val="2"/>
        </w:numPr>
        <w:spacing w:after="160" w:line="360" w:lineRule="auto"/>
        <w:contextualSpacing/>
        <w:jc w:val="both"/>
        <w:rPr>
          <w:rFonts w:ascii="Calibri" w:hAnsi="Calibri"/>
          <w:b/>
          <w:bCs/>
          <w:noProof w:val="0"/>
          <w:rtl/>
        </w:rPr>
      </w:pPr>
      <w:r w:rsidRPr="0023788E">
        <w:rPr>
          <w:rFonts w:ascii="Calibri" w:hAnsi="Calibri"/>
          <w:b/>
          <w:bCs/>
          <w:noProof w:val="0"/>
          <w:rtl/>
        </w:rPr>
        <w:t>מורכבות הסכסוך.</w:t>
      </w:r>
    </w:p>
    <w:p w:rsidR="0023788E" w:rsidRPr="0023788E" w:rsidRDefault="0023788E" w:rsidP="0023788E">
      <w:pPr>
        <w:numPr>
          <w:ilvl w:val="0"/>
          <w:numId w:val="2"/>
        </w:numPr>
        <w:spacing w:after="160" w:line="360" w:lineRule="auto"/>
        <w:contextualSpacing/>
        <w:jc w:val="both"/>
        <w:rPr>
          <w:rFonts w:ascii="Calibri" w:hAnsi="Calibri"/>
          <w:b/>
          <w:bCs/>
          <w:rtl/>
        </w:rPr>
      </w:pPr>
      <w:r w:rsidRPr="0023788E">
        <w:rPr>
          <w:rFonts w:ascii="Calibri" w:hAnsi="Calibri"/>
          <w:b/>
          <w:bCs/>
          <w:noProof w:val="0"/>
          <w:rtl/>
        </w:rPr>
        <w:t>החלשת כוח מיקוח וסחיטה של בן הזוג האחר.</w:t>
      </w:r>
    </w:p>
    <w:p w:rsidR="0023788E" w:rsidRPr="0023788E" w:rsidRDefault="0023788E" w:rsidP="0023788E">
      <w:pPr>
        <w:numPr>
          <w:ilvl w:val="0"/>
          <w:numId w:val="2"/>
        </w:numPr>
        <w:spacing w:after="160" w:line="360" w:lineRule="auto"/>
        <w:contextualSpacing/>
        <w:jc w:val="both"/>
        <w:rPr>
          <w:rFonts w:ascii="Calibri" w:hAnsi="Calibri"/>
          <w:b/>
          <w:bCs/>
        </w:rPr>
      </w:pPr>
      <w:r w:rsidRPr="0023788E">
        <w:rPr>
          <w:rFonts w:ascii="Calibri" w:hAnsi="Calibri"/>
          <w:b/>
          <w:bCs/>
          <w:noProof w:val="0"/>
          <w:rtl/>
        </w:rPr>
        <w:t>הנזק העלול להיגרם מעיכוב פירוק השיתוף.</w:t>
      </w:r>
    </w:p>
    <w:p w:rsidR="0023788E" w:rsidRPr="0023788E" w:rsidRDefault="0023788E" w:rsidP="0023788E">
      <w:pPr>
        <w:numPr>
          <w:ilvl w:val="0"/>
          <w:numId w:val="2"/>
        </w:numPr>
        <w:spacing w:after="160" w:line="360" w:lineRule="auto"/>
        <w:contextualSpacing/>
        <w:jc w:val="both"/>
        <w:rPr>
          <w:rFonts w:ascii="Calibri" w:hAnsi="Calibri"/>
          <w:b/>
          <w:bCs/>
        </w:rPr>
      </w:pPr>
      <w:r w:rsidRPr="0023788E">
        <w:rPr>
          <w:rFonts w:ascii="Calibri" w:hAnsi="Calibri"/>
          <w:b/>
          <w:bCs/>
          <w:noProof w:val="0"/>
          <w:rtl/>
        </w:rPr>
        <w:t>השלכות על צדדים שלישיים.</w:t>
      </w:r>
    </w:p>
    <w:p w:rsidR="0023788E" w:rsidRPr="0023788E" w:rsidRDefault="0023788E" w:rsidP="00F41DE8">
      <w:pPr>
        <w:numPr>
          <w:ilvl w:val="0"/>
          <w:numId w:val="2"/>
        </w:numPr>
        <w:spacing w:after="160" w:line="360" w:lineRule="auto"/>
        <w:contextualSpacing/>
        <w:jc w:val="both"/>
        <w:rPr>
          <w:rFonts w:ascii="Calibri" w:hAnsi="Calibri"/>
          <w:b/>
          <w:bCs/>
        </w:rPr>
      </w:pPr>
      <w:r w:rsidRPr="0023788E">
        <w:rPr>
          <w:rFonts w:ascii="Calibri" w:hAnsi="Calibri"/>
          <w:b/>
          <w:bCs/>
          <w:noProof w:val="0"/>
          <w:rtl/>
        </w:rPr>
        <w:t>העלאת דרישת הפירוק בתום לב."</w:t>
      </w:r>
    </w:p>
    <w:p w:rsidR="0023788E" w:rsidRPr="0023788E" w:rsidRDefault="0023788E" w:rsidP="0023788E">
      <w:pPr>
        <w:spacing w:before="120" w:line="360" w:lineRule="auto"/>
        <w:jc w:val="both"/>
        <w:rPr>
          <w:rFonts w:ascii="David" w:hAnsi="David"/>
        </w:rPr>
      </w:pPr>
    </w:p>
    <w:p w:rsidR="00342437" w:rsidRDefault="006C3972" w:rsidP="00EC4172">
      <w:pPr>
        <w:spacing w:after="160" w:line="360" w:lineRule="auto"/>
        <w:ind w:left="720" w:hanging="720"/>
        <w:jc w:val="both"/>
        <w:rPr>
          <w:rFonts w:ascii="David" w:eastAsia="David" w:hAnsi="David"/>
          <w:noProof w:val="0"/>
          <w:rtl/>
        </w:rPr>
      </w:pPr>
      <w:r>
        <w:rPr>
          <w:rFonts w:ascii="David" w:eastAsia="David" w:hAnsi="David" w:hint="cs"/>
          <w:noProof w:val="0"/>
          <w:rtl/>
        </w:rPr>
        <w:t>4.</w:t>
      </w:r>
      <w:r>
        <w:rPr>
          <w:rFonts w:ascii="David" w:eastAsia="David" w:hAnsi="David" w:hint="cs"/>
          <w:noProof w:val="0"/>
          <w:rtl/>
        </w:rPr>
        <w:tab/>
        <w:t xml:space="preserve">בעניינו כבר מכתבי הטענות ובוודאי שלאחר קדם המשפט הראשון ברור כי הנכס העיקרי של הצדדים הינו דירת המגורים והמשך ניהול ההליכים, לא יהא בו </w:t>
      </w:r>
      <w:r w:rsidR="000C5FC7">
        <w:rPr>
          <w:rFonts w:ascii="David" w:eastAsia="David" w:hAnsi="David" w:hint="cs"/>
          <w:noProof w:val="0"/>
          <w:rtl/>
        </w:rPr>
        <w:t xml:space="preserve">כדי </w:t>
      </w:r>
      <w:r>
        <w:rPr>
          <w:rFonts w:ascii="David" w:eastAsia="David" w:hAnsi="David" w:hint="cs"/>
          <w:noProof w:val="0"/>
          <w:rtl/>
        </w:rPr>
        <w:t>להצמיח למי מהצדדים כספים ו/או נכסים משמעותיים אשר מכוחם יוכל מי מהצדדים לרכוש את חלקו של הצד השני בקיזוזם של</w:t>
      </w:r>
      <w:r w:rsidR="000C5FC7">
        <w:rPr>
          <w:rFonts w:ascii="David" w:eastAsia="David" w:hAnsi="David" w:hint="cs"/>
          <w:noProof w:val="0"/>
          <w:rtl/>
        </w:rPr>
        <w:t xml:space="preserve"> אל</w:t>
      </w:r>
      <w:r>
        <w:rPr>
          <w:rFonts w:ascii="David" w:eastAsia="David" w:hAnsi="David" w:hint="cs"/>
          <w:noProof w:val="0"/>
          <w:rtl/>
        </w:rPr>
        <w:t xml:space="preserve">ה. הצדדים נשואים זמן קצר יחסית מאז </w:t>
      </w:r>
      <w:r w:rsidR="00EC4172">
        <w:rPr>
          <w:rFonts w:ascii="David" w:eastAsia="David" w:hAnsi="David" w:hint="cs"/>
          <w:noProof w:val="0"/>
          <w:rtl/>
        </w:rPr>
        <w:t>17/-/--</w:t>
      </w:r>
      <w:r>
        <w:rPr>
          <w:rFonts w:ascii="David" w:eastAsia="David" w:hAnsi="David" w:hint="cs"/>
          <w:noProof w:val="0"/>
          <w:rtl/>
        </w:rPr>
        <w:t xml:space="preserve"> ולפיכך אף הזכויות הסוציאליות שצברו הינם בסכומים </w:t>
      </w:r>
      <w:r w:rsidR="004A3823">
        <w:rPr>
          <w:rFonts w:ascii="David" w:eastAsia="David" w:hAnsi="David" w:hint="cs"/>
          <w:noProof w:val="0"/>
          <w:rtl/>
        </w:rPr>
        <w:t xml:space="preserve">נמוכים ואלה אף אינם נזילים ובית המשפט ממילא גם אינו יכול לכפות על מי מהצדדים להוון אותם. </w:t>
      </w:r>
    </w:p>
    <w:p w:rsidR="004A3823" w:rsidRDefault="004A3823" w:rsidP="004A3823">
      <w:pPr>
        <w:spacing w:after="160" w:line="360" w:lineRule="auto"/>
        <w:ind w:left="720" w:hanging="720"/>
        <w:jc w:val="both"/>
        <w:rPr>
          <w:rFonts w:ascii="David" w:eastAsia="David" w:hAnsi="David"/>
          <w:noProof w:val="0"/>
        </w:rPr>
      </w:pPr>
      <w:r>
        <w:rPr>
          <w:rFonts w:ascii="David" w:eastAsia="David" w:hAnsi="David"/>
          <w:noProof w:val="0"/>
          <w:rtl/>
        </w:rPr>
        <w:tab/>
      </w:r>
      <w:r>
        <w:rPr>
          <w:rFonts w:ascii="David" w:eastAsia="David" w:hAnsi="David" w:hint="cs"/>
          <w:noProof w:val="0"/>
          <w:rtl/>
        </w:rPr>
        <w:t xml:space="preserve">באשר לטענת המשיבה באשר למזונות הקטינים, הרי שלאלה נפסקו מזונות זמניים והתובענות כולן קבועות להוכחות ליום 12.3.22 ובכל מקרה עם מכירת הדירה, יידרש בית המשפט לעניין המדור.  </w:t>
      </w:r>
    </w:p>
    <w:p w:rsidR="004A3823" w:rsidRDefault="00E61171" w:rsidP="00E61171">
      <w:pPr>
        <w:spacing w:after="160" w:line="360" w:lineRule="auto"/>
        <w:ind w:left="720" w:hanging="720"/>
        <w:jc w:val="both"/>
        <w:rPr>
          <w:rFonts w:ascii="David" w:hAnsi="David"/>
          <w:noProof w:val="0"/>
        </w:rPr>
      </w:pPr>
      <w:r>
        <w:rPr>
          <w:rFonts w:ascii="David" w:eastAsia="David" w:hAnsi="David" w:hint="cs"/>
          <w:noProof w:val="0"/>
          <w:rtl/>
        </w:rPr>
        <w:lastRenderedPageBreak/>
        <w:t>5.</w:t>
      </w:r>
      <w:r>
        <w:rPr>
          <w:rFonts w:ascii="David" w:eastAsia="David" w:hAnsi="David" w:hint="cs"/>
          <w:noProof w:val="0"/>
          <w:rtl/>
        </w:rPr>
        <w:tab/>
        <w:t xml:space="preserve">פרט לכך בהעדר הסכמה בין הצדדים באשר למחיר אין בית המשפט יכול לכפות על המשיב למכור למשיבה את חלקו בזכויות בדירה בהתאם לשמאויות.  </w:t>
      </w:r>
      <w:r w:rsidR="00342437">
        <w:rPr>
          <w:rFonts w:ascii="David" w:eastAsia="David" w:hAnsi="David"/>
          <w:noProof w:val="0"/>
          <w:rtl/>
        </w:rPr>
        <w:tab/>
      </w:r>
    </w:p>
    <w:p w:rsidR="00342437" w:rsidRDefault="00E61171" w:rsidP="00E61171">
      <w:pPr>
        <w:spacing w:before="240" w:after="160" w:line="360" w:lineRule="auto"/>
        <w:ind w:left="720"/>
        <w:jc w:val="both"/>
        <w:rPr>
          <w:rFonts w:ascii="David" w:hAnsi="David"/>
          <w:noProof w:val="0"/>
          <w:rtl/>
        </w:rPr>
      </w:pPr>
      <w:r>
        <w:rPr>
          <w:rFonts w:ascii="David" w:hAnsi="David" w:hint="cs"/>
          <w:noProof w:val="0"/>
          <w:rtl/>
        </w:rPr>
        <w:t>ש</w:t>
      </w:r>
      <w:r w:rsidR="00342437">
        <w:rPr>
          <w:rFonts w:ascii="David" w:hAnsi="David"/>
          <w:noProof w:val="0"/>
          <w:rtl/>
        </w:rPr>
        <w:t xml:space="preserve">אלה זו של זכאות, בן/ת הזוג לדין קדימה בעת פירוק שיתוף בדירה משותפת, נדונה בהרחבה והוכרעה </w:t>
      </w:r>
      <w:r w:rsidR="00342437" w:rsidRPr="00E61171">
        <w:rPr>
          <w:rFonts w:ascii="David" w:hAnsi="David"/>
          <w:noProof w:val="0"/>
          <w:rtl/>
        </w:rPr>
        <w:t>ב</w:t>
      </w:r>
      <w:hyperlink r:id="rId20" w:history="1">
        <w:r w:rsidR="00342437" w:rsidRPr="00E61171">
          <w:rPr>
            <w:rStyle w:val="Hyperlink"/>
            <w:rFonts w:ascii="David" w:hAnsi="David"/>
            <w:noProof w:val="0"/>
            <w:color w:val="auto"/>
            <w:u w:val="none"/>
            <w:rtl/>
          </w:rPr>
          <w:t>תמ"ש (ת"א) 12712-07-16</w:t>
        </w:r>
      </w:hyperlink>
      <w:r w:rsidR="00342437" w:rsidRPr="00E61171">
        <w:rPr>
          <w:rFonts w:ascii="David" w:hAnsi="David"/>
          <w:noProof w:val="0"/>
          <w:rtl/>
        </w:rPr>
        <w:t xml:space="preserve"> </w:t>
      </w:r>
      <w:r w:rsidR="00342437" w:rsidRPr="00E61171">
        <w:rPr>
          <w:rFonts w:ascii="David" w:hAnsi="David" w:hint="cs"/>
          <w:b/>
          <w:bCs/>
          <w:noProof w:val="0"/>
          <w:rtl/>
        </w:rPr>
        <w:t>פלוני נ' פלונית</w:t>
      </w:r>
      <w:r w:rsidR="00342437" w:rsidRPr="00E61171">
        <w:rPr>
          <w:rFonts w:ascii="David" w:hAnsi="David" w:hint="cs"/>
          <w:noProof w:val="0"/>
          <w:rtl/>
        </w:rPr>
        <w:t xml:space="preserve"> [פורסם בנבו] (2.2.17), בהחלטה אשר נתנה ע"י כב' השופט יהורם שקד, תוך אזכור נרחב של ההלכה הפסוקה בנדון. במסגרת ההחלטה נקבע, כי מרגע שניתן צו לפירוק שיתוף בתובענה שהגיש אחד מבני הזוג, אין תחולה למנגנון זכות הקדימה הקבוע </w:t>
      </w:r>
      <w:hyperlink r:id="rId21" w:history="1">
        <w:r w:rsidR="00342437" w:rsidRPr="00E61171">
          <w:rPr>
            <w:rStyle w:val="Hyperlink"/>
            <w:rFonts w:ascii="David" w:hAnsi="David"/>
            <w:noProof w:val="0"/>
            <w:color w:val="auto"/>
            <w:u w:val="none"/>
            <w:rtl/>
          </w:rPr>
          <w:t>בסעיף 101</w:t>
        </w:r>
      </w:hyperlink>
      <w:r w:rsidR="00342437" w:rsidRPr="00E61171">
        <w:rPr>
          <w:rFonts w:ascii="David" w:hAnsi="David"/>
          <w:noProof w:val="0"/>
          <w:rtl/>
        </w:rPr>
        <w:t xml:space="preserve"> ל</w:t>
      </w:r>
      <w:hyperlink r:id="rId22" w:history="1">
        <w:r w:rsidR="00342437" w:rsidRPr="00E61171">
          <w:rPr>
            <w:rStyle w:val="Hyperlink"/>
            <w:rFonts w:ascii="David" w:hAnsi="David"/>
            <w:noProof w:val="0"/>
            <w:color w:val="auto"/>
            <w:u w:val="none"/>
            <w:rtl/>
          </w:rPr>
          <w:t>חוק המקרקעין</w:t>
        </w:r>
      </w:hyperlink>
      <w:r w:rsidR="00342437" w:rsidRPr="00E61171">
        <w:rPr>
          <w:rFonts w:ascii="David" w:hAnsi="David"/>
          <w:noProof w:val="0"/>
          <w:rtl/>
        </w:rPr>
        <w:t>, ועל בן זוג המעוניין לרכוש את הנכס, ליטול חלק בהליך ההתמחרות ככל משתתף אחר. עוד נקבע כי מימוש הנכס צריך להיעשות תוך התחשבות בזכות הקניינית של הבעלים הנוספים לממשו בתמורה הגבוהה ביותר שניתן; עריכת התמחרות היא דרישה לגיטימית של בן הזוג, המבקש להשיא לא רק את חלקו בנכס אלא גם את חלקו של בן זוגו. עוד על פי הפסיקה התמחרות לרכישת הבית צריכה להיות כללית, ופתוחה גם לצדדים שלישיים, בכדי להשיא את רווחיהם של האיש והאישה מזכויותיהם בנכס. עוד ראו לעניין זה עמ"ש (חיפה) 38445-08-17 </w:t>
      </w:r>
      <w:r w:rsidR="00342437" w:rsidRPr="00E61171">
        <w:rPr>
          <w:rFonts w:ascii="David" w:hAnsi="David"/>
          <w:b/>
          <w:bCs/>
          <w:noProof w:val="0"/>
          <w:rtl/>
        </w:rPr>
        <w:t>פלוני נ'</w:t>
      </w:r>
      <w:r w:rsidR="00342437" w:rsidRPr="00E61171">
        <w:rPr>
          <w:rFonts w:ascii="David" w:hAnsi="David"/>
          <w:b/>
          <w:bCs/>
          <w:noProof w:val="0"/>
        </w:rPr>
        <w:t> </w:t>
      </w:r>
      <w:r w:rsidR="00342437" w:rsidRPr="00E61171">
        <w:rPr>
          <w:rFonts w:ascii="David" w:hAnsi="David"/>
          <w:b/>
          <w:bCs/>
          <w:noProof w:val="0"/>
          <w:rtl/>
        </w:rPr>
        <w:t>אלמונית</w:t>
      </w:r>
      <w:r w:rsidR="00342437" w:rsidRPr="00E61171">
        <w:rPr>
          <w:rFonts w:ascii="David" w:hAnsi="David"/>
          <w:noProof w:val="0"/>
          <w:rtl/>
        </w:rPr>
        <w:t xml:space="preserve"> [פורסם בנבו] (5.10.18); ב</w:t>
      </w:r>
      <w:hyperlink r:id="rId23" w:history="1">
        <w:r w:rsidR="00342437" w:rsidRPr="00E61171">
          <w:rPr>
            <w:rStyle w:val="Hyperlink"/>
            <w:rFonts w:ascii="David" w:hAnsi="David"/>
            <w:noProof w:val="0"/>
            <w:color w:val="auto"/>
            <w:u w:val="none"/>
            <w:rtl/>
          </w:rPr>
          <w:t>עמ"ש (חי') 23541-01-17</w:t>
        </w:r>
      </w:hyperlink>
      <w:r w:rsidR="00342437">
        <w:rPr>
          <w:rFonts w:ascii="David" w:hAnsi="David"/>
          <w:noProof w:val="0"/>
          <w:rtl/>
        </w:rPr>
        <w:t xml:space="preserve"> </w:t>
      </w:r>
      <w:r w:rsidR="00342437">
        <w:rPr>
          <w:rFonts w:ascii="David" w:hAnsi="David" w:hint="cs"/>
          <w:b/>
          <w:bCs/>
          <w:noProof w:val="0"/>
          <w:rtl/>
        </w:rPr>
        <w:t>פלונית נ' פלוני</w:t>
      </w:r>
      <w:r w:rsidR="00342437">
        <w:rPr>
          <w:rFonts w:ascii="David" w:hAnsi="David" w:hint="cs"/>
          <w:noProof w:val="0"/>
          <w:rtl/>
        </w:rPr>
        <w:t xml:space="preserve"> [פורסם בנבו] (9.8.17). </w:t>
      </w:r>
    </w:p>
    <w:p w:rsidR="00342437" w:rsidRPr="00E61171" w:rsidRDefault="00E61171" w:rsidP="00342437">
      <w:pPr>
        <w:spacing w:before="240" w:after="160" w:line="360" w:lineRule="auto"/>
        <w:ind w:left="720" w:hanging="720"/>
        <w:jc w:val="both"/>
        <w:rPr>
          <w:noProof w:val="0"/>
          <w:rtl/>
        </w:rPr>
      </w:pPr>
      <w:r>
        <w:rPr>
          <w:rFonts w:hint="cs"/>
          <w:noProof w:val="0"/>
          <w:rtl/>
        </w:rPr>
        <w:t>6</w:t>
      </w:r>
      <w:r w:rsidR="00342437">
        <w:rPr>
          <w:noProof w:val="0"/>
          <w:rtl/>
        </w:rPr>
        <w:t>.</w:t>
      </w:r>
      <w:r w:rsidR="00342437">
        <w:rPr>
          <w:noProof w:val="0"/>
          <w:rtl/>
        </w:rPr>
        <w:tab/>
        <w:t xml:space="preserve">עם זאת ועל מנת למנוע כל תקלה מובהר כבר עתה כי לבן הזוג שמורה הזכות להשוות את הצעתו להצעה הגבוהה ביותר, ברם היא אינה מזכה אותו "לשבת על הגדר" בלי לקחת חלק בהתמחרות (ראו </w:t>
      </w:r>
      <w:r w:rsidR="00342437" w:rsidRPr="00E61171">
        <w:rPr>
          <w:noProof w:val="0"/>
          <w:rtl/>
        </w:rPr>
        <w:t xml:space="preserve">והשוו </w:t>
      </w:r>
      <w:hyperlink r:id="rId24" w:history="1">
        <w:r w:rsidR="00342437" w:rsidRPr="00E61171">
          <w:rPr>
            <w:rStyle w:val="Hyperlink"/>
            <w:noProof w:val="0"/>
            <w:color w:val="auto"/>
            <w:u w:val="none"/>
            <w:rtl/>
          </w:rPr>
          <w:t>רמ"ש (י-ם) 38658-09-13</w:t>
        </w:r>
      </w:hyperlink>
      <w:r w:rsidR="00342437" w:rsidRPr="00E61171">
        <w:rPr>
          <w:noProof w:val="0"/>
          <w:rtl/>
        </w:rPr>
        <w:t xml:space="preserve"> </w:t>
      </w:r>
      <w:r w:rsidR="00342437" w:rsidRPr="00E61171">
        <w:rPr>
          <w:rFonts w:hint="cs"/>
          <w:b/>
          <w:bCs/>
          <w:noProof w:val="0"/>
          <w:rtl/>
        </w:rPr>
        <w:t>עזבון המנוחה פ.א. ז"ל נ' .ב.ת</w:t>
      </w:r>
      <w:r w:rsidR="00342437" w:rsidRPr="00E61171">
        <w:rPr>
          <w:rFonts w:hint="cs"/>
          <w:noProof w:val="0"/>
          <w:rtl/>
        </w:rPr>
        <w:t xml:space="preserve"> </w:t>
      </w:r>
      <w:r w:rsidR="00342437" w:rsidRPr="00E61171">
        <w:rPr>
          <w:noProof w:val="0"/>
          <w:sz w:val="22"/>
          <w:rtl/>
        </w:rPr>
        <w:t xml:space="preserve">[פורסם בנבו] </w:t>
      </w:r>
      <w:r w:rsidR="00342437" w:rsidRPr="00E61171">
        <w:rPr>
          <w:noProof w:val="0"/>
          <w:rtl/>
        </w:rPr>
        <w:t xml:space="preserve">(18.11.2013). מימוש הנכס צריך להיעשות תוך התחשבות בזכות הקניינית של הבעלים הנוספים לממשו בתמורה הגבוהה ביותר שניתן לקבל (ר' </w:t>
      </w:r>
      <w:hyperlink r:id="rId25" w:history="1">
        <w:r w:rsidR="00342437" w:rsidRPr="00E61171">
          <w:rPr>
            <w:rStyle w:val="Hyperlink"/>
            <w:noProof w:val="0"/>
            <w:color w:val="auto"/>
            <w:u w:val="none"/>
            <w:rtl/>
          </w:rPr>
          <w:t>רע"א 972/10</w:t>
        </w:r>
      </w:hyperlink>
      <w:r w:rsidR="00342437" w:rsidRPr="00E61171">
        <w:rPr>
          <w:noProof w:val="0"/>
          <w:rtl/>
        </w:rPr>
        <w:t xml:space="preserve"> </w:t>
      </w:r>
      <w:r w:rsidR="00342437" w:rsidRPr="00E61171">
        <w:rPr>
          <w:rFonts w:hint="cs"/>
          <w:b/>
          <w:bCs/>
          <w:noProof w:val="0"/>
          <w:rtl/>
        </w:rPr>
        <w:t>פלוני נ' פלונית</w:t>
      </w:r>
      <w:r w:rsidR="00342437" w:rsidRPr="00E61171">
        <w:rPr>
          <w:rFonts w:hint="cs"/>
          <w:noProof w:val="0"/>
          <w:rtl/>
        </w:rPr>
        <w:t xml:space="preserve"> </w:t>
      </w:r>
      <w:r w:rsidR="00342437" w:rsidRPr="00E61171">
        <w:rPr>
          <w:noProof w:val="0"/>
          <w:sz w:val="22"/>
          <w:rtl/>
        </w:rPr>
        <w:t xml:space="preserve">[פורסם בנבו] </w:t>
      </w:r>
      <w:r w:rsidR="00342437" w:rsidRPr="00E61171">
        <w:rPr>
          <w:noProof w:val="0"/>
          <w:rtl/>
        </w:rPr>
        <w:t xml:space="preserve">(3.3.2010). </w:t>
      </w:r>
    </w:p>
    <w:p w:rsidR="00342437" w:rsidRDefault="00342437" w:rsidP="00342437">
      <w:pPr>
        <w:spacing w:line="360" w:lineRule="auto"/>
        <w:ind w:left="720"/>
        <w:jc w:val="both"/>
        <w:rPr>
          <w:noProof w:val="0"/>
        </w:rPr>
      </w:pPr>
      <w:r>
        <w:rPr>
          <w:noProof w:val="0"/>
          <w:rtl/>
        </w:rPr>
        <w:t xml:space="preserve">ההסדר המשפטי צריך להגן על זכות הקניין של כל בעלי הנכס. השוואת המחיר להצעה הגבוהה ביותר ללא התמחרות עלולה לקפח את הבעלים האחר, שכן השתתפות בהתמחרות מאפשרת ליתר המציעים להעלות את גובה ההצעה. </w:t>
      </w:r>
    </w:p>
    <w:p w:rsidR="00342437" w:rsidRDefault="00342437" w:rsidP="00342437">
      <w:pPr>
        <w:spacing w:line="360" w:lineRule="auto"/>
        <w:ind w:left="720"/>
        <w:jc w:val="both"/>
        <w:rPr>
          <w:noProof w:val="0"/>
          <w:rtl/>
        </w:rPr>
      </w:pPr>
    </w:p>
    <w:p w:rsidR="00342437" w:rsidRDefault="00342437" w:rsidP="00342437">
      <w:pPr>
        <w:spacing w:line="360" w:lineRule="auto"/>
        <w:ind w:left="720"/>
        <w:jc w:val="both"/>
        <w:rPr>
          <w:noProof w:val="0"/>
          <w:rtl/>
        </w:rPr>
      </w:pPr>
      <w:r>
        <w:rPr>
          <w:noProof w:val="0"/>
          <w:rtl/>
        </w:rPr>
        <w:t>עוד ראו לעניין זה בע"מ 4051/16 </w:t>
      </w:r>
      <w:r>
        <w:rPr>
          <w:b/>
          <w:bCs/>
          <w:noProof w:val="0"/>
          <w:rtl/>
        </w:rPr>
        <w:t>פלוני</w:t>
      </w:r>
      <w:r>
        <w:rPr>
          <w:noProof w:val="0"/>
          <w:rtl/>
        </w:rPr>
        <w:t> </w:t>
      </w:r>
      <w:r>
        <w:rPr>
          <w:b/>
          <w:bCs/>
          <w:noProof w:val="0"/>
          <w:rtl/>
        </w:rPr>
        <w:t>נ'</w:t>
      </w:r>
      <w:r>
        <w:rPr>
          <w:noProof w:val="0"/>
        </w:rPr>
        <w:t> </w:t>
      </w:r>
      <w:r>
        <w:rPr>
          <w:b/>
          <w:bCs/>
          <w:noProof w:val="0"/>
          <w:rtl/>
        </w:rPr>
        <w:t>פלונית</w:t>
      </w:r>
      <w:r>
        <w:rPr>
          <w:noProof w:val="0"/>
          <w:rtl/>
        </w:rPr>
        <w:t>[פורסם בנבו] (8.6.16) ו-רמ"ש (באר שבע) 57182-11-16 </w:t>
      </w:r>
      <w:r>
        <w:rPr>
          <w:b/>
          <w:bCs/>
          <w:noProof w:val="0"/>
          <w:rtl/>
        </w:rPr>
        <w:t>מ.ב</w:t>
      </w:r>
      <w:r>
        <w:rPr>
          <w:noProof w:val="0"/>
          <w:rtl/>
        </w:rPr>
        <w:t> </w:t>
      </w:r>
      <w:r>
        <w:rPr>
          <w:b/>
          <w:bCs/>
          <w:noProof w:val="0"/>
          <w:rtl/>
        </w:rPr>
        <w:t>נ' ש.ב</w:t>
      </w:r>
      <w:r>
        <w:rPr>
          <w:noProof w:val="0"/>
          <w:rtl/>
        </w:rPr>
        <w:t xml:space="preserve"> [פורסם בנבו] (27.1.17). </w:t>
      </w:r>
    </w:p>
    <w:p w:rsidR="00E61171" w:rsidRDefault="00E61171" w:rsidP="00342437">
      <w:pPr>
        <w:spacing w:line="360" w:lineRule="auto"/>
        <w:ind w:left="720"/>
        <w:jc w:val="both"/>
        <w:rPr>
          <w:noProof w:val="0"/>
          <w:rtl/>
        </w:rPr>
      </w:pPr>
    </w:p>
    <w:p w:rsidR="00E61171" w:rsidRDefault="00E61171" w:rsidP="00E61171">
      <w:pPr>
        <w:spacing w:line="360" w:lineRule="auto"/>
        <w:ind w:left="720" w:hanging="720"/>
        <w:jc w:val="both"/>
        <w:rPr>
          <w:rFonts w:ascii="David" w:hAnsi="David"/>
          <w:noProof w:val="0"/>
          <w:rtl/>
        </w:rPr>
      </w:pPr>
      <w:r>
        <w:rPr>
          <w:rFonts w:ascii="David" w:hAnsi="David" w:hint="cs"/>
          <w:noProof w:val="0"/>
          <w:rtl/>
        </w:rPr>
        <w:t>7.</w:t>
      </w:r>
      <w:r>
        <w:rPr>
          <w:rFonts w:ascii="David" w:hAnsi="David" w:hint="cs"/>
          <w:noProof w:val="0"/>
          <w:rtl/>
        </w:rPr>
        <w:tab/>
        <w:t>לאור כל האמור לעיל, לא מצאתי כי יש מקום להמשיך ו</w:t>
      </w:r>
      <w:r>
        <w:rPr>
          <w:rFonts w:ascii="David" w:hAnsi="David"/>
          <w:noProof w:val="0"/>
          <w:rtl/>
        </w:rPr>
        <w:t>לעכב את פירוק השיתוף בין הצדדים בהעדר הסכמה ובפרט נוכח עצימות הסכסוך ביניהם ומשכך ניתן בזה צו לפירוק השיתוף בדירה.</w:t>
      </w:r>
    </w:p>
    <w:p w:rsidR="00E61171" w:rsidRDefault="00E61171" w:rsidP="00342437">
      <w:pPr>
        <w:spacing w:line="360" w:lineRule="auto"/>
        <w:ind w:left="720"/>
        <w:jc w:val="both"/>
        <w:rPr>
          <w:noProof w:val="0"/>
          <w:rtl/>
        </w:rPr>
      </w:pPr>
    </w:p>
    <w:p w:rsidR="00342437" w:rsidRDefault="00342437" w:rsidP="00342437">
      <w:pPr>
        <w:spacing w:before="240" w:after="160" w:line="360" w:lineRule="auto"/>
        <w:ind w:left="720" w:hanging="720"/>
        <w:jc w:val="both"/>
        <w:rPr>
          <w:noProof w:val="0"/>
        </w:rPr>
      </w:pPr>
      <w:r>
        <w:rPr>
          <w:rFonts w:ascii="David" w:hAnsi="David"/>
          <w:noProof w:val="0"/>
          <w:rtl/>
        </w:rPr>
        <w:lastRenderedPageBreak/>
        <w:tab/>
        <w:t>לשם ביצוע פסק הדין הנני מורה על מינוי ב"כ הצדדים ככונסי נכסים במשותף מובהר כי בהעדר שיתוף פעולה בין הצדדים ימנה בית המשפט כונס חיצוני.</w:t>
      </w:r>
      <w:r>
        <w:rPr>
          <w:noProof w:val="0"/>
          <w:rtl/>
        </w:rPr>
        <w:t xml:space="preserve"> כונסי הנכסים יגישו צו פורמאלי לחתימה. </w:t>
      </w:r>
    </w:p>
    <w:p w:rsidR="00094813" w:rsidRDefault="00094813">
      <w:pPr>
        <w:spacing w:line="360" w:lineRule="auto"/>
        <w:jc w:val="both"/>
        <w:rPr>
          <w:rFonts w:ascii="Arial" w:hAnsi="Arial"/>
          <w:noProof w:val="0"/>
          <w:rtl/>
        </w:rPr>
      </w:pPr>
    </w:p>
    <w:p w:rsidR="00E61171" w:rsidRPr="00342437" w:rsidRDefault="000C5FC7">
      <w:pPr>
        <w:spacing w:line="360" w:lineRule="auto"/>
        <w:jc w:val="both"/>
        <w:rPr>
          <w:rFonts w:ascii="Arial" w:hAnsi="Arial"/>
          <w:noProof w:val="0"/>
          <w:rtl/>
        </w:rPr>
      </w:pPr>
      <w:r>
        <w:rPr>
          <w:rFonts w:ascii="Arial" w:hAnsi="Arial" w:hint="cs"/>
          <w:noProof w:val="0"/>
          <w:rtl/>
        </w:rPr>
        <w:t>8.</w:t>
      </w:r>
      <w:r>
        <w:rPr>
          <w:rFonts w:ascii="Arial" w:hAnsi="Arial" w:hint="cs"/>
          <w:noProof w:val="0"/>
          <w:rtl/>
        </w:rPr>
        <w:tab/>
        <w:t xml:space="preserve">המזכירות תמציא החלטתי זו לב"כ הצדדים.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כ"ט חשוון תשפ"ג</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23 נובמבר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E9186B">
      <w:pPr>
        <w:spacing w:line="360" w:lineRule="auto"/>
        <w:ind w:left="3600" w:firstLine="720"/>
        <w:jc w:val="both"/>
      </w:pPr>
      <w:sdt>
        <w:sdtPr>
          <w:rPr>
            <w:rtl/>
          </w:rPr>
          <w:alias w:val="MergeField"/>
          <w:tag w:val="1237"/>
          <w:id w:val="-1748333072"/>
        </w:sdtPr>
        <w:sdtEndPr/>
        <w:sdtContent>
          <w:r w:rsidR="00EC4172">
            <w:drawing>
              <wp:inline distT="0" distB="0" distL="0" distR="0" wp14:editId="50D07946">
                <wp:extent cx="140970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6" cstate="print">
                          <a:extLst/>
                        </a:blip>
                        <a:stretch>
                          <a:fillRect/>
                        </a:stretch>
                      </pic:blipFill>
                      <pic:spPr>
                        <a:xfrm>
                          <a:off x="0" y="0"/>
                          <a:ext cx="1409700" cy="8858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7"/>
      <w:headerReference w:type="default" r:id="rId28"/>
      <w:footerReference w:type="even" r:id="rId29"/>
      <w:footerReference w:type="default" r:id="rId30"/>
      <w:headerReference w:type="first" r:id="rId31"/>
      <w:footerReference w:type="first" r:id="rId3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86B" w:rsidRDefault="00E9186B">
      <w:r>
        <w:separator/>
      </w:r>
    </w:p>
  </w:endnote>
  <w:endnote w:type="continuationSeparator" w:id="0">
    <w:p w:rsidR="00E9186B" w:rsidRDefault="00E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D9C" w:rsidRDefault="00301D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301D9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301D9C">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D9C" w:rsidRDefault="00301D9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86B" w:rsidRDefault="00E9186B">
      <w:r>
        <w:separator/>
      </w:r>
    </w:p>
  </w:footnote>
  <w:footnote w:type="continuationSeparator" w:id="0">
    <w:p w:rsidR="00E9186B" w:rsidRDefault="00E9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D9C" w:rsidRDefault="00301D9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9186B" w:rsidP="00EC4172">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17667-02-22</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094813">
                <w:rPr>
                  <w:b/>
                  <w:bCs/>
                  <w:noProof w:val="0"/>
                  <w:sz w:val="26"/>
                  <w:szCs w:val="26"/>
                  <w:rtl/>
                </w:rPr>
                <w:t>ט</w:t>
              </w:r>
              <w:r w:rsidR="00EC4172">
                <w:rPr>
                  <w:rFonts w:hint="cs"/>
                  <w:b/>
                  <w:bCs/>
                  <w:noProof w:val="0"/>
                  <w:sz w:val="26"/>
                  <w:szCs w:val="26"/>
                  <w:rtl/>
                </w:rPr>
                <w:t xml:space="preserve">' </w:t>
              </w:r>
              <w:r w:rsidR="00094813">
                <w:rPr>
                  <w:b/>
                  <w:bCs/>
                  <w:noProof w:val="0"/>
                  <w:sz w:val="26"/>
                  <w:szCs w:val="26"/>
                  <w:rtl/>
                </w:rPr>
                <w:t>נ' ג</w:t>
              </w:r>
              <w:r w:rsidR="00EC4172">
                <w:rPr>
                  <w:rFonts w:hint="cs"/>
                  <w:b/>
                  <w:bCs/>
                  <w:noProof w:val="0"/>
                  <w:sz w:val="26"/>
                  <w:szCs w:val="26"/>
                  <w:rtl/>
                </w:rPr>
                <w:t>.</w:t>
              </w:r>
              <w:r w:rsidR="00094813">
                <w:rPr>
                  <w:b/>
                  <w:bCs/>
                  <w:noProof w:val="0"/>
                  <w:sz w:val="26"/>
                  <w:szCs w:val="26"/>
                  <w:rtl/>
                </w:rPr>
                <w:t>ט</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D9C" w:rsidRDefault="00301D9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F1788"/>
    <w:multiLevelType w:val="hybridMultilevel"/>
    <w:tmpl w:val="4366FB88"/>
    <w:lvl w:ilvl="0" w:tplc="CE321078">
      <w:start w:val="1"/>
      <w:numFmt w:val="hebrew1"/>
      <w:lvlText w:val="%1."/>
      <w:lvlJc w:val="left"/>
      <w:pPr>
        <w:ind w:left="1080" w:hanging="360"/>
      </w:pPr>
      <w:rPr>
        <w:rFonts w:cs="Times New Roman"/>
        <w:szCs w:val="24"/>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 w15:restartNumberingAfterBreak="0">
    <w:nsid w:val="38FA1B84"/>
    <w:multiLevelType w:val="hybridMultilevel"/>
    <w:tmpl w:val="5980D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2F6B0F"/>
    <w:multiLevelType w:val="hybridMultilevel"/>
    <w:tmpl w:val="567A1DC2"/>
    <w:lvl w:ilvl="0" w:tplc="599289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0C5FC7"/>
    <w:rsid w:val="000F0B65"/>
    <w:rsid w:val="0014058F"/>
    <w:rsid w:val="001E0EB7"/>
    <w:rsid w:val="0023788E"/>
    <w:rsid w:val="00242BA8"/>
    <w:rsid w:val="002914D6"/>
    <w:rsid w:val="002A194A"/>
    <w:rsid w:val="002F5307"/>
    <w:rsid w:val="00301D9C"/>
    <w:rsid w:val="00342437"/>
    <w:rsid w:val="003C2B44"/>
    <w:rsid w:val="003C669B"/>
    <w:rsid w:val="00454A7B"/>
    <w:rsid w:val="004A3823"/>
    <w:rsid w:val="00503A57"/>
    <w:rsid w:val="00530E94"/>
    <w:rsid w:val="005B5685"/>
    <w:rsid w:val="005C2B86"/>
    <w:rsid w:val="006068BC"/>
    <w:rsid w:val="006C3972"/>
    <w:rsid w:val="00822AA5"/>
    <w:rsid w:val="00946045"/>
    <w:rsid w:val="00A54660"/>
    <w:rsid w:val="00A7661B"/>
    <w:rsid w:val="00B31305"/>
    <w:rsid w:val="00C226D6"/>
    <w:rsid w:val="00CE7F78"/>
    <w:rsid w:val="00E61171"/>
    <w:rsid w:val="00E9186B"/>
    <w:rsid w:val="00EC08AF"/>
    <w:rsid w:val="00EC4172"/>
    <w:rsid w:val="00F41DE8"/>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23788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Hyperlink">
    <w:name w:val="Hyperlink"/>
    <w:basedOn w:val="a0"/>
    <w:uiPriority w:val="99"/>
    <w:semiHidden/>
    <w:unhideWhenUsed/>
    <w:rsid w:val="00342437"/>
    <w:rPr>
      <w:color w:val="0000FF"/>
      <w:u w:val="single"/>
    </w:rPr>
  </w:style>
  <w:style w:type="paragraph" w:styleId="ac">
    <w:name w:val="List Paragraph"/>
    <w:basedOn w:val="a"/>
    <w:uiPriority w:val="34"/>
    <w:qFormat/>
    <w:rsid w:val="00342437"/>
    <w:pPr>
      <w:ind w:left="720"/>
      <w:contextualSpacing/>
    </w:pPr>
  </w:style>
  <w:style w:type="character" w:customStyle="1" w:styleId="50">
    <w:name w:val="כותרת 5 תו"/>
    <w:basedOn w:val="a0"/>
    <w:link w:val="5"/>
    <w:semiHidden/>
    <w:rsid w:val="0023788E"/>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504917">
      <w:bodyDiv w:val="1"/>
      <w:marLeft w:val="0"/>
      <w:marRight w:val="0"/>
      <w:marTop w:val="0"/>
      <w:marBottom w:val="0"/>
      <w:divBdr>
        <w:top w:val="none" w:sz="0" w:space="0" w:color="auto"/>
        <w:left w:val="none" w:sz="0" w:space="0" w:color="auto"/>
        <w:bottom w:val="none" w:sz="0" w:space="0" w:color="auto"/>
        <w:right w:val="none" w:sz="0" w:space="0" w:color="auto"/>
      </w:divBdr>
    </w:div>
    <w:div w:id="13843265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4900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law/72897/37.a" TargetMode="External"/><Relationship Id="rId18" Type="http://schemas.openxmlformats.org/officeDocument/2006/relationships/hyperlink" Target="http://www.nevo.co.il/law/72897" TargetMode="External"/><Relationship Id="rId26" Type="http://schemas.openxmlformats.org/officeDocument/2006/relationships/image" Target="media/image1.jpg"/><Relationship Id="rId3" Type="http://schemas.openxmlformats.org/officeDocument/2006/relationships/styles" Target="styles.xml"/><Relationship Id="rId21" Type="http://schemas.openxmlformats.org/officeDocument/2006/relationships/hyperlink" Target="http://www.nevo.co.il/law/72897/10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evo.co.il/safrut/bookgroup/1468" TargetMode="External"/><Relationship Id="rId17" Type="http://schemas.openxmlformats.org/officeDocument/2006/relationships/hyperlink" Target="http://www.nevo.co.il/case/3505272" TargetMode="External"/><Relationship Id="rId25" Type="http://schemas.openxmlformats.org/officeDocument/2006/relationships/hyperlink" Target="http://www.nevo.co.il/case/624931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evo.co.il/case/3505272" TargetMode="External"/><Relationship Id="rId20" Type="http://schemas.openxmlformats.org/officeDocument/2006/relationships/hyperlink" Target="http://www.nevo.co.il/case/21911345"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2540867" TargetMode="External"/><Relationship Id="rId24" Type="http://schemas.openxmlformats.org/officeDocument/2006/relationships/hyperlink" Target="http://www.nevo.co.il/case/10456245"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nevo.co.il/case/6239685" TargetMode="External"/><Relationship Id="rId23" Type="http://schemas.openxmlformats.org/officeDocument/2006/relationships/hyperlink" Target="http://www.nevo.co.il/case/22112767" TargetMode="External"/><Relationship Id="rId28" Type="http://schemas.openxmlformats.org/officeDocument/2006/relationships/header" Target="header2.xml"/><Relationship Id="rId10" Type="http://schemas.openxmlformats.org/officeDocument/2006/relationships/hyperlink" Target="http://www.nevo.co.il/law/72138" TargetMode="External"/><Relationship Id="rId19" Type="http://schemas.openxmlformats.org/officeDocument/2006/relationships/hyperlink" Target="http://www.nevo.co.il/case/4375530"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nevo.co.il/case/5741113" TargetMode="External"/><Relationship Id="rId14" Type="http://schemas.openxmlformats.org/officeDocument/2006/relationships/hyperlink" Target="http://www.nevo.co.il/law/72897" TargetMode="External"/><Relationship Id="rId22" Type="http://schemas.openxmlformats.org/officeDocument/2006/relationships/hyperlink" Target="http://www.nevo.co.il/law/72897"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nevo.co.il/law/7289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5277</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2023-10-29T08:08:00Z</dcterms:created>
  <dcterms:modified xsi:type="dcterms:W3CDTF">2023-10-29T08:08:00Z</dcterms:modified>
</cp:coreProperties>
</file>